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A747" w14:textId="609D0E78" w:rsidR="007A3933" w:rsidRPr="002530AA" w:rsidRDefault="007A3933" w:rsidP="002530AA">
      <w:pPr>
        <w:spacing w:after="0" w:line="240" w:lineRule="atLeast"/>
        <w:jc w:val="both"/>
        <w:rPr>
          <w:rFonts w:ascii="Candara" w:hAnsi="Candara" w:cstheme="majorHAnsi"/>
          <w:b/>
          <w:bCs/>
          <w:sz w:val="28"/>
          <w:szCs w:val="28"/>
          <w:lang w:val="es-DO"/>
        </w:rPr>
      </w:pPr>
      <w:r w:rsidRPr="002530AA">
        <w:rPr>
          <w:rFonts w:ascii="Candara" w:hAnsi="Candara" w:cstheme="majorHAnsi"/>
          <w:b/>
          <w:bCs/>
          <w:sz w:val="28"/>
          <w:szCs w:val="28"/>
          <w:lang w:val="es-DO"/>
        </w:rPr>
        <w:t xml:space="preserve">A </w:t>
      </w:r>
      <w:r w:rsidR="002530AA" w:rsidRPr="002530AA">
        <w:rPr>
          <w:rFonts w:ascii="Candara" w:hAnsi="Candara" w:cstheme="majorHAnsi"/>
          <w:b/>
          <w:bCs/>
          <w:sz w:val="28"/>
          <w:szCs w:val="28"/>
          <w:lang w:val="es-DO"/>
        </w:rPr>
        <w:t>continuación,</w:t>
      </w:r>
      <w:r w:rsidRPr="002530AA">
        <w:rPr>
          <w:rFonts w:ascii="Candara" w:hAnsi="Candara" w:cstheme="majorHAnsi"/>
          <w:b/>
          <w:bCs/>
          <w:sz w:val="28"/>
          <w:szCs w:val="28"/>
          <w:lang w:val="es-DO"/>
        </w:rPr>
        <w:t xml:space="preserve"> detallamos las características y descripciones de los conjuntos de datos publicados en el portal Datos.gob.do como en el Subportal de </w:t>
      </w:r>
      <w:r w:rsidR="002530AA" w:rsidRPr="002530AA">
        <w:rPr>
          <w:rFonts w:ascii="Candara" w:hAnsi="Candara" w:cstheme="majorHAnsi"/>
          <w:b/>
          <w:bCs/>
          <w:sz w:val="28"/>
          <w:szCs w:val="28"/>
          <w:lang w:val="es-DO"/>
        </w:rPr>
        <w:t>Transparencia</w:t>
      </w:r>
      <w:r w:rsidRPr="002530AA">
        <w:rPr>
          <w:rFonts w:ascii="Candara" w:hAnsi="Candara" w:cstheme="majorHAnsi"/>
          <w:b/>
          <w:bCs/>
          <w:sz w:val="28"/>
          <w:szCs w:val="28"/>
          <w:lang w:val="es-DO"/>
        </w:rPr>
        <w:t xml:space="preserve"> del CNZFE:</w:t>
      </w:r>
    </w:p>
    <w:p w14:paraId="0D4D1777" w14:textId="77777777" w:rsidR="007A3933" w:rsidRPr="002530AA" w:rsidRDefault="007A3933" w:rsidP="002530AA">
      <w:pPr>
        <w:spacing w:after="0" w:line="240" w:lineRule="atLeast"/>
        <w:jc w:val="both"/>
        <w:rPr>
          <w:rFonts w:ascii="Candara" w:hAnsi="Candara" w:cstheme="majorHAnsi"/>
          <w:b/>
          <w:bCs/>
          <w:sz w:val="28"/>
          <w:szCs w:val="28"/>
          <w:lang w:val="es-DO"/>
        </w:rPr>
      </w:pPr>
    </w:p>
    <w:p w14:paraId="07164DA2" w14:textId="77777777" w:rsidR="002530AA" w:rsidRPr="002530AA" w:rsidRDefault="002530AA" w:rsidP="002530AA">
      <w:pPr>
        <w:spacing w:after="0" w:line="240" w:lineRule="atLeast"/>
        <w:jc w:val="both"/>
        <w:rPr>
          <w:rFonts w:ascii="Candara" w:hAnsi="Candara" w:cstheme="majorHAnsi"/>
          <w:b/>
          <w:bCs/>
          <w:sz w:val="28"/>
          <w:szCs w:val="28"/>
          <w:lang w:val="es-DO"/>
        </w:rPr>
      </w:pPr>
      <w:r w:rsidRPr="002530AA">
        <w:rPr>
          <w:rFonts w:ascii="Candara" w:hAnsi="Candara" w:cstheme="majorHAnsi"/>
          <w:b/>
          <w:bCs/>
          <w:sz w:val="28"/>
          <w:szCs w:val="28"/>
          <w:lang w:val="es-DO"/>
        </w:rPr>
        <w:t>Reporte semestral de los servicios brindados, 2019-2025</w:t>
      </w:r>
    </w:p>
    <w:p w14:paraId="2E64C45E" w14:textId="6686EC2A" w:rsidR="00C95E46" w:rsidRPr="002530AA" w:rsidRDefault="002530AA" w:rsidP="002530AA">
      <w:pPr>
        <w:spacing w:after="0" w:line="240" w:lineRule="atLeast"/>
        <w:jc w:val="both"/>
        <w:rPr>
          <w:rFonts w:ascii="Candara" w:hAnsi="Candara"/>
          <w:sz w:val="28"/>
          <w:szCs w:val="28"/>
          <w:lang w:val="es-DO"/>
        </w:rPr>
      </w:pPr>
      <w:r w:rsidRPr="002530AA">
        <w:rPr>
          <w:rFonts w:ascii="Candara" w:hAnsi="Candara"/>
          <w:sz w:val="28"/>
          <w:szCs w:val="28"/>
          <w:lang w:val="es-DO"/>
        </w:rPr>
        <w:t>Este conjunto de datos presenta información sobre los servicios brindados por el Consejo Nacional de Zonas Francas de Exportación (CNZFE) a la ciudadanía o empresas durante el período 2019–2025. Incluye datos de la abreviatura del servicio, nombre o descripción del servicio brindado, cantidad, semestre y año.</w:t>
      </w:r>
    </w:p>
    <w:p w14:paraId="32BCCE98" w14:textId="77777777" w:rsidR="00C95E46" w:rsidRPr="002530AA" w:rsidRDefault="00C95E46" w:rsidP="002530AA">
      <w:pPr>
        <w:spacing w:after="0" w:line="240" w:lineRule="atLeast"/>
        <w:jc w:val="both"/>
        <w:rPr>
          <w:rFonts w:ascii="Candara" w:hAnsi="Candara"/>
          <w:sz w:val="28"/>
          <w:szCs w:val="28"/>
          <w:lang w:val="es-DO"/>
        </w:rPr>
      </w:pPr>
    </w:p>
    <w:p w14:paraId="4E95D07E" w14:textId="77777777" w:rsidR="002530AA" w:rsidRPr="002530AA" w:rsidRDefault="002530AA" w:rsidP="002530AA">
      <w:pPr>
        <w:spacing w:after="0" w:line="240" w:lineRule="atLeast"/>
        <w:jc w:val="both"/>
        <w:rPr>
          <w:rFonts w:ascii="Candara" w:hAnsi="Candara" w:cstheme="majorHAnsi"/>
          <w:b/>
          <w:bCs/>
          <w:sz w:val="28"/>
          <w:szCs w:val="28"/>
          <w:lang w:val="es-DO"/>
        </w:rPr>
      </w:pPr>
      <w:r w:rsidRPr="002530AA">
        <w:rPr>
          <w:rFonts w:ascii="Candara" w:hAnsi="Candara" w:cstheme="majorHAnsi"/>
          <w:b/>
          <w:bCs/>
          <w:sz w:val="28"/>
          <w:szCs w:val="28"/>
          <w:lang w:val="es-DO"/>
        </w:rPr>
        <w:t>Presupuestos aprobados, 2019-2026</w:t>
      </w:r>
    </w:p>
    <w:p w14:paraId="5861E03C" w14:textId="08613B53" w:rsidR="00221284" w:rsidRPr="002530AA" w:rsidRDefault="002530AA" w:rsidP="002530AA">
      <w:pPr>
        <w:spacing w:after="0" w:line="240" w:lineRule="atLeast"/>
        <w:jc w:val="both"/>
        <w:rPr>
          <w:rFonts w:ascii="Candara" w:hAnsi="Candara"/>
          <w:sz w:val="28"/>
          <w:szCs w:val="28"/>
          <w:lang w:val="es-DO"/>
        </w:rPr>
      </w:pPr>
      <w:r w:rsidRPr="002530AA">
        <w:rPr>
          <w:rFonts w:ascii="Candara" w:hAnsi="Candara"/>
          <w:sz w:val="28"/>
          <w:szCs w:val="28"/>
          <w:lang w:val="es-DO"/>
        </w:rPr>
        <w:t xml:space="preserve">Este conjunto de datos presenta el histórico de los presupuestos aprobados del Consejo Nacional de Zonas Francas de Exportación (CNZFE) 2019–2026. Incluye el concepto presupuestario, el monto de presupuesto aprobado, el monto del presupuesto modificado y el año de ejecución </w:t>
      </w:r>
      <w:proofErr w:type="gramStart"/>
      <w:r w:rsidRPr="002530AA">
        <w:rPr>
          <w:rFonts w:ascii="Candara" w:hAnsi="Candara"/>
          <w:sz w:val="28"/>
          <w:szCs w:val="28"/>
          <w:lang w:val="es-DO"/>
        </w:rPr>
        <w:t>del mismo</w:t>
      </w:r>
      <w:proofErr w:type="gramEnd"/>
      <w:r w:rsidRPr="002530AA">
        <w:rPr>
          <w:rFonts w:ascii="Candara" w:hAnsi="Candara"/>
          <w:sz w:val="28"/>
          <w:szCs w:val="28"/>
          <w:lang w:val="es-DO"/>
        </w:rPr>
        <w:t>, expresados en pesos dominicanos (DOP), permitiendo su consulta, análisis y seguimiento.</w:t>
      </w:r>
    </w:p>
    <w:p w14:paraId="1A596544" w14:textId="77777777" w:rsidR="00C95E46" w:rsidRPr="002530AA" w:rsidRDefault="00C95E46" w:rsidP="002530AA">
      <w:pPr>
        <w:spacing w:after="0" w:line="240" w:lineRule="atLeast"/>
        <w:jc w:val="both"/>
        <w:rPr>
          <w:rFonts w:ascii="Candara" w:hAnsi="Candara"/>
          <w:sz w:val="28"/>
          <w:szCs w:val="28"/>
          <w:lang w:val="es-DO"/>
        </w:rPr>
      </w:pPr>
    </w:p>
    <w:p w14:paraId="29A24527" w14:textId="77777777" w:rsidR="002530AA" w:rsidRPr="002530AA" w:rsidRDefault="002530AA" w:rsidP="002530AA">
      <w:pPr>
        <w:spacing w:after="0" w:line="240" w:lineRule="atLeast"/>
        <w:jc w:val="both"/>
        <w:rPr>
          <w:rFonts w:ascii="Candara" w:hAnsi="Candara" w:cstheme="majorHAnsi"/>
          <w:b/>
          <w:bCs/>
          <w:sz w:val="28"/>
          <w:szCs w:val="28"/>
          <w:lang w:val="es-DO"/>
        </w:rPr>
      </w:pPr>
      <w:r w:rsidRPr="002530AA">
        <w:rPr>
          <w:rFonts w:ascii="Candara" w:hAnsi="Candara" w:cstheme="majorHAnsi"/>
          <w:b/>
          <w:bCs/>
          <w:sz w:val="28"/>
          <w:szCs w:val="28"/>
          <w:lang w:val="es-DO"/>
        </w:rPr>
        <w:t>Evolución de las principales variables del Sector de Zonas Francas de la República Dominicana, 2006-2025</w:t>
      </w:r>
    </w:p>
    <w:p w14:paraId="2F74F02D" w14:textId="28BE5A7D" w:rsidR="002B161D" w:rsidRPr="002530AA" w:rsidRDefault="002530AA" w:rsidP="002530AA">
      <w:pPr>
        <w:spacing w:after="0" w:line="240" w:lineRule="atLeast"/>
        <w:jc w:val="both"/>
        <w:rPr>
          <w:rFonts w:ascii="Candara" w:hAnsi="Candara"/>
          <w:sz w:val="28"/>
          <w:szCs w:val="28"/>
          <w:lang w:val="es-DO"/>
        </w:rPr>
      </w:pPr>
      <w:r w:rsidRPr="002530AA">
        <w:rPr>
          <w:rFonts w:ascii="Candara" w:hAnsi="Candara"/>
          <w:sz w:val="28"/>
          <w:szCs w:val="28"/>
          <w:lang w:val="es-DO"/>
        </w:rPr>
        <w:t>Este conjunto de datos presenta información histórica sobre la evolución de las principales variables del sector de zonas francas de la República Dominicana durante el período 2006–2025. Incluye datos sobre Año, total parques aprobados, total empresas operando, total de empleos, exportaciones (millones US$), inversión total acumulada (millones US$), gastos operativos locales (millones US$), salarios operarios semanales (RD$), salarios técnicos semanales (RD$) y áreas de naves ocupadas (pies cuadrados).</w:t>
      </w:r>
    </w:p>
    <w:p w14:paraId="16F485A8" w14:textId="77777777" w:rsidR="002530AA" w:rsidRPr="002530AA" w:rsidRDefault="002530AA" w:rsidP="002530AA">
      <w:pPr>
        <w:spacing w:after="0" w:line="240" w:lineRule="atLeast"/>
        <w:jc w:val="both"/>
        <w:rPr>
          <w:rFonts w:ascii="Candara" w:hAnsi="Candara"/>
          <w:sz w:val="28"/>
          <w:szCs w:val="28"/>
          <w:lang w:val="es-DO"/>
        </w:rPr>
      </w:pPr>
    </w:p>
    <w:p w14:paraId="70B81C0D" w14:textId="77777777" w:rsidR="002530AA" w:rsidRPr="002530AA" w:rsidRDefault="002530AA" w:rsidP="002530AA">
      <w:pPr>
        <w:spacing w:after="0" w:line="240" w:lineRule="atLeast"/>
        <w:jc w:val="both"/>
        <w:rPr>
          <w:rFonts w:ascii="Candara" w:hAnsi="Candara" w:cs="Calibri Light"/>
          <w:b/>
          <w:bCs/>
          <w:sz w:val="28"/>
          <w:szCs w:val="28"/>
          <w:lang w:val="es-DO"/>
        </w:rPr>
      </w:pPr>
      <w:r w:rsidRPr="002530AA">
        <w:rPr>
          <w:rFonts w:ascii="Candara" w:hAnsi="Candara" w:cs="Calibri Light"/>
          <w:b/>
          <w:bCs/>
          <w:sz w:val="28"/>
          <w:szCs w:val="28"/>
          <w:lang w:val="es-DO"/>
        </w:rPr>
        <w:t>Inversión Acumulada en el Sector de Zonas Francas de República Dominicana, 2018–2025.</w:t>
      </w:r>
    </w:p>
    <w:p w14:paraId="5BE0D33E" w14:textId="718A574F" w:rsidR="002B161D" w:rsidRDefault="002530AA" w:rsidP="002530AA">
      <w:pPr>
        <w:spacing w:after="0" w:line="240" w:lineRule="atLeast"/>
        <w:jc w:val="both"/>
        <w:rPr>
          <w:rFonts w:ascii="Candara" w:hAnsi="Candara" w:cs="Calibri Light"/>
          <w:sz w:val="28"/>
          <w:szCs w:val="28"/>
          <w:lang w:val="es-DO"/>
        </w:rPr>
      </w:pPr>
      <w:r w:rsidRPr="002530AA">
        <w:rPr>
          <w:rFonts w:ascii="Candara" w:hAnsi="Candara" w:cs="Calibri Light"/>
          <w:sz w:val="28"/>
          <w:szCs w:val="28"/>
          <w:lang w:val="es-DO"/>
        </w:rPr>
        <w:t>Este conjunto de datos presenta información sobre la inversión acumulada en el sector de zonas francas de la República Dominicana durante el período 2018–2025. Incluye datos organizados por año, monto de inversión acumulada en dólares estadounidenses (USD) y la variación porcentual con relación al año anterior.</w:t>
      </w:r>
    </w:p>
    <w:p w14:paraId="6A81987C" w14:textId="77777777" w:rsidR="00B72D47" w:rsidRDefault="00B72D47" w:rsidP="002530AA">
      <w:pPr>
        <w:spacing w:after="0" w:line="240" w:lineRule="atLeast"/>
        <w:jc w:val="both"/>
        <w:rPr>
          <w:rFonts w:ascii="Candara" w:hAnsi="Candara" w:cs="Calibri Light"/>
          <w:sz w:val="28"/>
          <w:szCs w:val="28"/>
          <w:lang w:val="es-DO"/>
        </w:rPr>
      </w:pPr>
    </w:p>
    <w:sectPr w:rsidR="00B72D4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B89C" w14:textId="77777777" w:rsidR="00773D8B" w:rsidRDefault="00773D8B" w:rsidP="00B72D47">
      <w:pPr>
        <w:spacing w:after="0" w:line="240" w:lineRule="auto"/>
      </w:pPr>
      <w:r>
        <w:separator/>
      </w:r>
    </w:p>
  </w:endnote>
  <w:endnote w:type="continuationSeparator" w:id="0">
    <w:p w14:paraId="420707CC" w14:textId="77777777" w:rsidR="00773D8B" w:rsidRDefault="00773D8B" w:rsidP="00B7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0B" w14:textId="77777777" w:rsidR="00B72D47" w:rsidRPr="00B72D47" w:rsidRDefault="00B72D47" w:rsidP="00B72D47">
    <w:pPr>
      <w:spacing w:after="0" w:line="240" w:lineRule="atLeast"/>
      <w:jc w:val="both"/>
      <w:rPr>
        <w:rFonts w:ascii="Candara" w:hAnsi="Candara" w:cs="Calibri Light"/>
        <w:i/>
        <w:iCs/>
        <w:sz w:val="28"/>
        <w:szCs w:val="28"/>
        <w:lang w:val="es-DO"/>
      </w:rPr>
    </w:pPr>
    <w:r w:rsidRPr="00B72D47">
      <w:rPr>
        <w:rFonts w:ascii="Candara" w:hAnsi="Candara" w:cs="Calibri Light"/>
        <w:i/>
        <w:iCs/>
        <w:sz w:val="28"/>
        <w:szCs w:val="28"/>
        <w:lang w:val="es-DO"/>
      </w:rPr>
      <w:t>Preparado por: Oficina de Acceso a la Información Pública (OAI)</w:t>
    </w:r>
  </w:p>
  <w:p w14:paraId="474401AA" w14:textId="77777777" w:rsidR="00B72D47" w:rsidRPr="00B72D47" w:rsidRDefault="00B72D47" w:rsidP="00B72D47">
    <w:pPr>
      <w:spacing w:after="0" w:line="240" w:lineRule="atLeast"/>
      <w:jc w:val="both"/>
      <w:rPr>
        <w:rFonts w:ascii="Candara" w:hAnsi="Candara" w:cs="Calibri Light"/>
        <w:i/>
        <w:iCs/>
        <w:sz w:val="28"/>
        <w:szCs w:val="28"/>
        <w:lang w:val="es-DO"/>
      </w:rPr>
    </w:pPr>
    <w:r w:rsidRPr="00B72D47">
      <w:rPr>
        <w:rFonts w:ascii="Candara" w:hAnsi="Candara" w:cs="Calibri Light"/>
        <w:i/>
        <w:iCs/>
        <w:sz w:val="28"/>
        <w:szCs w:val="28"/>
        <w:lang w:val="es-DO"/>
      </w:rPr>
      <w:t>El 12 de mayo de 2026</w:t>
    </w:r>
  </w:p>
  <w:p w14:paraId="657D6F28" w14:textId="77777777" w:rsidR="00B72D47" w:rsidRDefault="00B72D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DE6D" w14:textId="77777777" w:rsidR="00773D8B" w:rsidRDefault="00773D8B" w:rsidP="00B72D47">
      <w:pPr>
        <w:spacing w:after="0" w:line="240" w:lineRule="auto"/>
      </w:pPr>
      <w:r>
        <w:separator/>
      </w:r>
    </w:p>
  </w:footnote>
  <w:footnote w:type="continuationSeparator" w:id="0">
    <w:p w14:paraId="64CEDA32" w14:textId="77777777" w:rsidR="00773D8B" w:rsidRDefault="00773D8B" w:rsidP="00B72D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C8"/>
    <w:rsid w:val="001210D4"/>
    <w:rsid w:val="001979F7"/>
    <w:rsid w:val="00221284"/>
    <w:rsid w:val="002530AA"/>
    <w:rsid w:val="002B161D"/>
    <w:rsid w:val="002D3DFE"/>
    <w:rsid w:val="00355E74"/>
    <w:rsid w:val="00470203"/>
    <w:rsid w:val="00580618"/>
    <w:rsid w:val="00593308"/>
    <w:rsid w:val="005D74DD"/>
    <w:rsid w:val="005E6349"/>
    <w:rsid w:val="006817FD"/>
    <w:rsid w:val="00730F93"/>
    <w:rsid w:val="00773D8B"/>
    <w:rsid w:val="00777AC8"/>
    <w:rsid w:val="007A3933"/>
    <w:rsid w:val="0080713B"/>
    <w:rsid w:val="00822DBD"/>
    <w:rsid w:val="009234E6"/>
    <w:rsid w:val="00AB5BC5"/>
    <w:rsid w:val="00B72D47"/>
    <w:rsid w:val="00C84232"/>
    <w:rsid w:val="00C91357"/>
    <w:rsid w:val="00C95E46"/>
    <w:rsid w:val="00CA7340"/>
    <w:rsid w:val="00CD7F77"/>
    <w:rsid w:val="00D04227"/>
    <w:rsid w:val="00D92CB0"/>
    <w:rsid w:val="00E339C4"/>
    <w:rsid w:val="00F158C6"/>
    <w:rsid w:val="00F4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26FE"/>
  <w15:chartTrackingRefBased/>
  <w15:docId w15:val="{5455EA19-EC19-41AB-B4CB-62407640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95E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5E46"/>
    <w:rPr>
      <w:color w:val="0563C1" w:themeColor="hyperlink"/>
      <w:u w:val="single"/>
    </w:rPr>
  </w:style>
  <w:style w:type="character" w:customStyle="1" w:styleId="Mencinsinresolver1">
    <w:name w:val="Mención sin resolver1"/>
    <w:basedOn w:val="Fuentedeprrafopredeter"/>
    <w:uiPriority w:val="99"/>
    <w:semiHidden/>
    <w:unhideWhenUsed/>
    <w:rsid w:val="00C95E46"/>
    <w:rPr>
      <w:color w:val="605E5C"/>
      <w:shd w:val="clear" w:color="auto" w:fill="E1DFDD"/>
    </w:rPr>
  </w:style>
  <w:style w:type="character" w:customStyle="1" w:styleId="Ttulo1Car">
    <w:name w:val="Título 1 Car"/>
    <w:basedOn w:val="Fuentedeprrafopredeter"/>
    <w:link w:val="Ttulo1"/>
    <w:uiPriority w:val="9"/>
    <w:rsid w:val="00C95E46"/>
    <w:rPr>
      <w:rFonts w:ascii="Times New Roman" w:eastAsia="Times New Roman" w:hAnsi="Times New Roman" w:cs="Times New Roman"/>
      <w:b/>
      <w:bCs/>
      <w:kern w:val="36"/>
      <w:sz w:val="48"/>
      <w:szCs w:val="48"/>
    </w:rPr>
  </w:style>
  <w:style w:type="paragraph" w:styleId="Encabezado">
    <w:name w:val="header"/>
    <w:basedOn w:val="Normal"/>
    <w:link w:val="EncabezadoCar"/>
    <w:uiPriority w:val="99"/>
    <w:unhideWhenUsed/>
    <w:rsid w:val="00B72D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2D47"/>
  </w:style>
  <w:style w:type="paragraph" w:styleId="Piedepgina">
    <w:name w:val="footer"/>
    <w:basedOn w:val="Normal"/>
    <w:link w:val="PiedepginaCar"/>
    <w:uiPriority w:val="99"/>
    <w:unhideWhenUsed/>
    <w:rsid w:val="00B72D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8569">
      <w:bodyDiv w:val="1"/>
      <w:marLeft w:val="0"/>
      <w:marRight w:val="0"/>
      <w:marTop w:val="0"/>
      <w:marBottom w:val="0"/>
      <w:divBdr>
        <w:top w:val="none" w:sz="0" w:space="0" w:color="auto"/>
        <w:left w:val="none" w:sz="0" w:space="0" w:color="auto"/>
        <w:bottom w:val="none" w:sz="0" w:space="0" w:color="auto"/>
        <w:right w:val="none" w:sz="0" w:space="0" w:color="auto"/>
      </w:divBdr>
      <w:divsChild>
        <w:div w:id="842206419">
          <w:marLeft w:val="0"/>
          <w:marRight w:val="0"/>
          <w:marTop w:val="0"/>
          <w:marBottom w:val="0"/>
          <w:divBdr>
            <w:top w:val="none" w:sz="0" w:space="0" w:color="auto"/>
            <w:left w:val="none" w:sz="0" w:space="0" w:color="auto"/>
            <w:bottom w:val="none" w:sz="0" w:space="0" w:color="auto"/>
            <w:right w:val="none" w:sz="0" w:space="0" w:color="auto"/>
          </w:divBdr>
        </w:div>
      </w:divsChild>
    </w:div>
    <w:div w:id="213737172">
      <w:bodyDiv w:val="1"/>
      <w:marLeft w:val="0"/>
      <w:marRight w:val="0"/>
      <w:marTop w:val="0"/>
      <w:marBottom w:val="0"/>
      <w:divBdr>
        <w:top w:val="none" w:sz="0" w:space="0" w:color="auto"/>
        <w:left w:val="none" w:sz="0" w:space="0" w:color="auto"/>
        <w:bottom w:val="none" w:sz="0" w:space="0" w:color="auto"/>
        <w:right w:val="none" w:sz="0" w:space="0" w:color="auto"/>
      </w:divBdr>
      <w:divsChild>
        <w:div w:id="1960993452">
          <w:marLeft w:val="0"/>
          <w:marRight w:val="0"/>
          <w:marTop w:val="0"/>
          <w:marBottom w:val="0"/>
          <w:divBdr>
            <w:top w:val="none" w:sz="0" w:space="0" w:color="auto"/>
            <w:left w:val="none" w:sz="0" w:space="0" w:color="auto"/>
            <w:bottom w:val="none" w:sz="0" w:space="0" w:color="auto"/>
            <w:right w:val="none" w:sz="0" w:space="0" w:color="auto"/>
          </w:divBdr>
        </w:div>
      </w:divsChild>
    </w:div>
    <w:div w:id="472597647">
      <w:bodyDiv w:val="1"/>
      <w:marLeft w:val="0"/>
      <w:marRight w:val="0"/>
      <w:marTop w:val="0"/>
      <w:marBottom w:val="0"/>
      <w:divBdr>
        <w:top w:val="none" w:sz="0" w:space="0" w:color="auto"/>
        <w:left w:val="none" w:sz="0" w:space="0" w:color="auto"/>
        <w:bottom w:val="none" w:sz="0" w:space="0" w:color="auto"/>
        <w:right w:val="none" w:sz="0" w:space="0" w:color="auto"/>
      </w:divBdr>
    </w:div>
    <w:div w:id="751125388">
      <w:bodyDiv w:val="1"/>
      <w:marLeft w:val="0"/>
      <w:marRight w:val="0"/>
      <w:marTop w:val="0"/>
      <w:marBottom w:val="0"/>
      <w:divBdr>
        <w:top w:val="none" w:sz="0" w:space="0" w:color="auto"/>
        <w:left w:val="none" w:sz="0" w:space="0" w:color="auto"/>
        <w:bottom w:val="none" w:sz="0" w:space="0" w:color="auto"/>
        <w:right w:val="none" w:sz="0" w:space="0" w:color="auto"/>
      </w:divBdr>
    </w:div>
    <w:div w:id="783694128">
      <w:bodyDiv w:val="1"/>
      <w:marLeft w:val="0"/>
      <w:marRight w:val="0"/>
      <w:marTop w:val="0"/>
      <w:marBottom w:val="0"/>
      <w:divBdr>
        <w:top w:val="none" w:sz="0" w:space="0" w:color="auto"/>
        <w:left w:val="none" w:sz="0" w:space="0" w:color="auto"/>
        <w:bottom w:val="none" w:sz="0" w:space="0" w:color="auto"/>
        <w:right w:val="none" w:sz="0" w:space="0" w:color="auto"/>
      </w:divBdr>
    </w:div>
    <w:div w:id="822770884">
      <w:bodyDiv w:val="1"/>
      <w:marLeft w:val="0"/>
      <w:marRight w:val="0"/>
      <w:marTop w:val="0"/>
      <w:marBottom w:val="0"/>
      <w:divBdr>
        <w:top w:val="none" w:sz="0" w:space="0" w:color="auto"/>
        <w:left w:val="none" w:sz="0" w:space="0" w:color="auto"/>
        <w:bottom w:val="none" w:sz="0" w:space="0" w:color="auto"/>
        <w:right w:val="none" w:sz="0" w:space="0" w:color="auto"/>
      </w:divBdr>
    </w:div>
    <w:div w:id="1121455295">
      <w:bodyDiv w:val="1"/>
      <w:marLeft w:val="0"/>
      <w:marRight w:val="0"/>
      <w:marTop w:val="0"/>
      <w:marBottom w:val="0"/>
      <w:divBdr>
        <w:top w:val="none" w:sz="0" w:space="0" w:color="auto"/>
        <w:left w:val="none" w:sz="0" w:space="0" w:color="auto"/>
        <w:bottom w:val="none" w:sz="0" w:space="0" w:color="auto"/>
        <w:right w:val="none" w:sz="0" w:space="0" w:color="auto"/>
      </w:divBdr>
      <w:divsChild>
        <w:div w:id="405107742">
          <w:marLeft w:val="0"/>
          <w:marRight w:val="0"/>
          <w:marTop w:val="0"/>
          <w:marBottom w:val="0"/>
          <w:divBdr>
            <w:top w:val="none" w:sz="0" w:space="0" w:color="auto"/>
            <w:left w:val="none" w:sz="0" w:space="0" w:color="auto"/>
            <w:bottom w:val="none" w:sz="0" w:space="0" w:color="auto"/>
            <w:right w:val="none" w:sz="0" w:space="0" w:color="auto"/>
          </w:divBdr>
        </w:div>
      </w:divsChild>
    </w:div>
    <w:div w:id="1513757612">
      <w:bodyDiv w:val="1"/>
      <w:marLeft w:val="0"/>
      <w:marRight w:val="0"/>
      <w:marTop w:val="0"/>
      <w:marBottom w:val="0"/>
      <w:divBdr>
        <w:top w:val="none" w:sz="0" w:space="0" w:color="auto"/>
        <w:left w:val="none" w:sz="0" w:space="0" w:color="auto"/>
        <w:bottom w:val="none" w:sz="0" w:space="0" w:color="auto"/>
        <w:right w:val="none" w:sz="0" w:space="0" w:color="auto"/>
      </w:divBdr>
    </w:div>
    <w:div w:id="1526093447">
      <w:bodyDiv w:val="1"/>
      <w:marLeft w:val="0"/>
      <w:marRight w:val="0"/>
      <w:marTop w:val="0"/>
      <w:marBottom w:val="0"/>
      <w:divBdr>
        <w:top w:val="none" w:sz="0" w:space="0" w:color="auto"/>
        <w:left w:val="none" w:sz="0" w:space="0" w:color="auto"/>
        <w:bottom w:val="none" w:sz="0" w:space="0" w:color="auto"/>
        <w:right w:val="none" w:sz="0" w:space="0" w:color="auto"/>
      </w:divBdr>
    </w:div>
    <w:div w:id="1815676908">
      <w:bodyDiv w:val="1"/>
      <w:marLeft w:val="0"/>
      <w:marRight w:val="0"/>
      <w:marTop w:val="0"/>
      <w:marBottom w:val="0"/>
      <w:divBdr>
        <w:top w:val="none" w:sz="0" w:space="0" w:color="auto"/>
        <w:left w:val="none" w:sz="0" w:space="0" w:color="auto"/>
        <w:bottom w:val="none" w:sz="0" w:space="0" w:color="auto"/>
        <w:right w:val="none" w:sz="0" w:space="0" w:color="auto"/>
      </w:divBdr>
    </w:div>
    <w:div w:id="19746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1665</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Urbaez</dc:creator>
  <cp:keywords/>
  <dc:description/>
  <cp:lastModifiedBy>Noelia Bencosme</cp:lastModifiedBy>
  <cp:revision>4</cp:revision>
  <cp:lastPrinted>2024-07-02T17:38:00Z</cp:lastPrinted>
  <dcterms:created xsi:type="dcterms:W3CDTF">2026-05-12T19:39:00Z</dcterms:created>
  <dcterms:modified xsi:type="dcterms:W3CDTF">2026-05-12T19:41:00Z</dcterms:modified>
</cp:coreProperties>
</file>